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64" w:rsidRDefault="007E3534">
      <w:pPr>
        <w:spacing w:after="218"/>
        <w:ind w:left="322"/>
      </w:pPr>
      <w:r>
        <w:rPr>
          <w:rFonts w:ascii="Times New Roman" w:eastAsia="Times New Roman" w:hAnsi="Times New Roman" w:cs="Times New Roman"/>
          <w:color w:val="002060"/>
          <w:sz w:val="48"/>
          <w:u w:val="single" w:color="002060"/>
        </w:rPr>
        <w:t>Pupil Premium Strategy Statement 2021-2024</w:t>
      </w: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943964" w:rsidRDefault="00641B89">
      <w:pPr>
        <w:spacing w:after="0"/>
        <w:ind w:right="21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182880</wp:posOffset>
            </wp:positionV>
            <wp:extent cx="1667510" cy="695325"/>
            <wp:effectExtent l="0" t="0" r="8890" b="9525"/>
            <wp:wrapTight wrapText="bothSides">
              <wp:wrapPolygon edited="0">
                <wp:start x="10117" y="0"/>
                <wp:lineTo x="8143" y="4142"/>
                <wp:lineTo x="6663" y="8285"/>
                <wp:lineTo x="0" y="12427"/>
                <wp:lineTo x="0" y="17753"/>
                <wp:lineTo x="4688" y="21304"/>
                <wp:lineTo x="16780" y="21304"/>
                <wp:lineTo x="21468" y="18345"/>
                <wp:lineTo x="21468" y="12427"/>
                <wp:lineTo x="15053" y="8877"/>
                <wp:lineTo x="13572" y="4734"/>
                <wp:lineTo x="11351" y="0"/>
                <wp:lineTo x="10117" y="0"/>
              </wp:wrapPolygon>
            </wp:wrapTight>
            <wp:docPr id="3" name="Picture 3" descr="Pineham B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ham Bar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34">
        <w:rPr>
          <w:rFonts w:ascii="Arial" w:eastAsia="Arial" w:hAnsi="Arial" w:cs="Arial"/>
          <w:color w:val="0D0D0D"/>
          <w:sz w:val="24"/>
        </w:rPr>
        <w:t xml:space="preserve"> </w:t>
      </w:r>
    </w:p>
    <w:p w:rsidR="00943964" w:rsidRDefault="00943964">
      <w:pPr>
        <w:spacing w:after="338"/>
        <w:ind w:left="3669"/>
      </w:pPr>
    </w:p>
    <w:p w:rsidR="00943964" w:rsidRDefault="007E3534">
      <w:pPr>
        <w:spacing w:after="274"/>
      </w:pPr>
      <w:r>
        <w:rPr>
          <w:rFonts w:ascii="High Tower Text" w:eastAsia="High Tower Text" w:hAnsi="High Tower Text" w:cs="High Tower Text"/>
          <w:i/>
          <w:color w:val="002060"/>
          <w:sz w:val="28"/>
        </w:rPr>
        <w:t xml:space="preserve"> </w:t>
      </w:r>
    </w:p>
    <w:p w:rsidR="00943964" w:rsidRDefault="007E3534">
      <w:pPr>
        <w:spacing w:after="276"/>
      </w:pPr>
      <w:r>
        <w:rPr>
          <w:rFonts w:ascii="High Tower Text" w:eastAsia="High Tower Text" w:hAnsi="High Tower Text" w:cs="High Tower Text"/>
          <w:i/>
          <w:color w:val="002060"/>
          <w:sz w:val="28"/>
        </w:rPr>
        <w:t xml:space="preserve"> </w:t>
      </w:r>
    </w:p>
    <w:p w:rsidR="00943964" w:rsidRDefault="007E3534">
      <w:pPr>
        <w:spacing w:after="240" w:line="240" w:lineRule="auto"/>
      </w:pPr>
      <w:r>
        <w:rPr>
          <w:rFonts w:ascii="High Tower Text" w:eastAsia="High Tower Text" w:hAnsi="High Tower Text" w:cs="High Tower Text"/>
          <w:sz w:val="24"/>
        </w:rPr>
        <w:t>This statement details our school’s use of pupil premium (and re</w:t>
      </w:r>
      <w:r>
        <w:rPr>
          <w:rFonts w:ascii="High Tower Text" w:eastAsia="High Tower Text" w:hAnsi="High Tower Text" w:cs="High Tower Text"/>
          <w:sz w:val="24"/>
        </w:rPr>
        <w:t xml:space="preserve">covery premium for the 2021 to 2022 academic year) funding to help improve the attainment of our disadvantaged pupils.  </w:t>
      </w:r>
    </w:p>
    <w:p w:rsidR="00943964" w:rsidRDefault="007E3534">
      <w:pPr>
        <w:spacing w:after="544" w:line="249" w:lineRule="auto"/>
        <w:ind w:left="-5" w:hanging="10"/>
      </w:pPr>
      <w:r>
        <w:rPr>
          <w:rFonts w:ascii="High Tower Text" w:eastAsia="High Tower Text" w:hAnsi="High Tower Text" w:cs="High Tower Text"/>
          <w:sz w:val="24"/>
        </w:rPr>
        <w:t>It outlines our pupil premium strategy, how we intend to spend the funding in this academic year and the effect that last year’s spendi</w:t>
      </w:r>
      <w:r>
        <w:rPr>
          <w:rFonts w:ascii="High Tower Text" w:eastAsia="High Tower Text" w:hAnsi="High Tower Text" w:cs="High Tower Text"/>
          <w:sz w:val="24"/>
        </w:rPr>
        <w:t xml:space="preserve">ng of pupil premium had within our school.  </w:t>
      </w: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School overview </w:t>
      </w:r>
    </w:p>
    <w:tbl>
      <w:tblPr>
        <w:tblStyle w:val="TableGrid"/>
        <w:tblW w:w="9485" w:type="dxa"/>
        <w:tblInd w:w="7" w:type="dxa"/>
        <w:tblCellMar>
          <w:top w:w="10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3962"/>
      </w:tblGrid>
      <w:tr w:rsidR="00943964" w:rsidTr="00641B89">
        <w:trPr>
          <w:trHeight w:val="406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Data </w:t>
            </w:r>
          </w:p>
        </w:tc>
      </w:tr>
      <w:tr w:rsidR="00641B89" w:rsidTr="00641B89">
        <w:trPr>
          <w:trHeight w:val="412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School name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Pineham Barns Primary School</w:t>
            </w:r>
          </w:p>
        </w:tc>
      </w:tr>
      <w:tr w:rsidR="00641B89" w:rsidTr="00641B89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Number of pupils in school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285</w:t>
            </w:r>
          </w:p>
        </w:tc>
      </w:tr>
      <w:tr w:rsidR="00641B89" w:rsidTr="00641B89">
        <w:trPr>
          <w:trHeight w:val="74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7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Proportion (%) of pupil premium eligible pupils </w:t>
            </w:r>
          </w:p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(including service pupil premium)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30 (11%)</w:t>
            </w:r>
          </w:p>
        </w:tc>
      </w:tr>
      <w:tr w:rsidR="00641B89" w:rsidTr="00641B89">
        <w:trPr>
          <w:trHeight w:val="96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Academic year/years that our current pupil </w:t>
            </w:r>
          </w:p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premium strategy plan covers (3 year plans are recommended)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2021 - 2024</w:t>
            </w:r>
          </w:p>
        </w:tc>
      </w:tr>
      <w:tr w:rsidR="00641B89" w:rsidTr="00641B89">
        <w:trPr>
          <w:trHeight w:val="41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Date this statement was published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October</w:t>
            </w:r>
            <w:r w:rsidRPr="006A55AB">
              <w:rPr>
                <w:rFonts w:ascii="High Tower Text" w:hAnsi="High Tower Text"/>
              </w:rPr>
              <w:t xml:space="preserve"> 2021</w:t>
            </w:r>
          </w:p>
        </w:tc>
      </w:tr>
      <w:tr w:rsidR="00641B89" w:rsidTr="00641B89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Date on which it will be reviewed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July</w:t>
            </w:r>
            <w:r w:rsidRPr="006A55AB">
              <w:rPr>
                <w:rFonts w:ascii="High Tower Text" w:hAnsi="High Tower Text"/>
              </w:rPr>
              <w:t xml:space="preserve"> 2022</w:t>
            </w:r>
          </w:p>
        </w:tc>
      </w:tr>
      <w:tr w:rsidR="00641B89" w:rsidTr="00641B89">
        <w:trPr>
          <w:trHeight w:val="41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Statement authorised by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Caroline Stewart</w:t>
            </w:r>
          </w:p>
        </w:tc>
      </w:tr>
      <w:tr w:rsidR="00641B89" w:rsidTr="00641B89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lead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Ian Sinnamon</w:t>
            </w:r>
          </w:p>
        </w:tc>
      </w:tr>
      <w:tr w:rsidR="00641B89" w:rsidTr="00641B89">
        <w:trPr>
          <w:trHeight w:val="69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Governor / Trustee lead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Performance Committee Chair – Liz White</w:t>
            </w:r>
          </w:p>
        </w:tc>
      </w:tr>
    </w:tbl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Funding overview </w:t>
      </w:r>
    </w:p>
    <w:tbl>
      <w:tblPr>
        <w:tblStyle w:val="TableGrid"/>
        <w:tblW w:w="9485" w:type="dxa"/>
        <w:tblInd w:w="7" w:type="dxa"/>
        <w:tblCellMar>
          <w:top w:w="101" w:type="dxa"/>
          <w:left w:w="166" w:type="dxa"/>
          <w:bottom w:w="0" w:type="dxa"/>
          <w:right w:w="264" w:type="dxa"/>
        </w:tblCellMar>
        <w:tblLook w:val="04A0" w:firstRow="1" w:lastRow="0" w:firstColumn="1" w:lastColumn="0" w:noHBand="0" w:noVBand="1"/>
      </w:tblPr>
      <w:tblGrid>
        <w:gridCol w:w="6517"/>
        <w:gridCol w:w="2968"/>
      </w:tblGrid>
      <w:tr w:rsidR="00943964">
        <w:trPr>
          <w:trHeight w:val="40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Amount </w:t>
            </w:r>
          </w:p>
        </w:tc>
      </w:tr>
      <w:tr w:rsidR="00641B89">
        <w:trPr>
          <w:trHeight w:val="75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7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funding allocation this academic year </w:t>
            </w:r>
          </w:p>
          <w:p w:rsidR="00641B89" w:rsidRDefault="00641B89" w:rsidP="00641B89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(including service pupil premium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£</w:t>
            </w:r>
            <w:r>
              <w:rPr>
                <w:rFonts w:ascii="High Tower Text" w:hAnsi="High Tower Text"/>
              </w:rPr>
              <w:t>42,350</w:t>
            </w:r>
          </w:p>
        </w:tc>
      </w:tr>
      <w:tr w:rsidR="00641B89">
        <w:trPr>
          <w:trHeight w:val="41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Recovery premium funding allocation this academic year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£4,640</w:t>
            </w:r>
          </w:p>
        </w:tc>
      </w:tr>
      <w:tr w:rsidR="00641B89">
        <w:trPr>
          <w:trHeight w:val="6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0"/>
              <w:jc w:val="both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funding carried forward from previous years (enter £0 if not applicable)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£</w:t>
            </w:r>
            <w:r>
              <w:rPr>
                <w:rFonts w:ascii="High Tower Text" w:hAnsi="High Tower Text"/>
              </w:rPr>
              <w:t>0</w:t>
            </w:r>
          </w:p>
        </w:tc>
      </w:tr>
      <w:tr w:rsidR="00641B89">
        <w:trPr>
          <w:trHeight w:val="130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5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Total budget for this academic year </w:t>
            </w:r>
          </w:p>
          <w:p w:rsidR="00641B89" w:rsidRDefault="00641B89" w:rsidP="00641B89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If your school is an academy in a trust that pools this funding, state the amount available to your school this academic year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£</w:t>
            </w:r>
            <w:r>
              <w:rPr>
                <w:rFonts w:ascii="High Tower Text" w:hAnsi="High Tower Text"/>
              </w:rPr>
              <w:t>46,990</w:t>
            </w:r>
          </w:p>
        </w:tc>
      </w:tr>
    </w:tbl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943964" w:rsidRDefault="007E3534">
      <w:pPr>
        <w:spacing w:after="409"/>
        <w:ind w:left="-5" w:hanging="10"/>
      </w:pPr>
      <w:r>
        <w:rPr>
          <w:rFonts w:ascii="High Tower Text" w:eastAsia="High Tower Text" w:hAnsi="High Tower Text" w:cs="High Tower Text"/>
          <w:color w:val="104F75"/>
          <w:sz w:val="36"/>
        </w:rPr>
        <w:lastRenderedPageBreak/>
        <w:t xml:space="preserve">Part A: Pupil premium strategy plan </w:t>
      </w: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Statement of intent </w:t>
      </w:r>
    </w:p>
    <w:tbl>
      <w:tblPr>
        <w:tblStyle w:val="TableGrid"/>
        <w:tblW w:w="9653" w:type="dxa"/>
        <w:tblInd w:w="5" w:type="dxa"/>
        <w:tblCellMar>
          <w:top w:w="149" w:type="dxa"/>
          <w:left w:w="11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653"/>
      </w:tblGrid>
      <w:tr w:rsidR="00943964" w:rsidTr="00641B89">
        <w:trPr>
          <w:trHeight w:val="9591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rPr>
                <w:rFonts w:ascii="High Tower Text" w:hAnsi="High Tower Text"/>
              </w:rPr>
            </w:pPr>
            <w:r w:rsidRPr="00433ACE">
              <w:rPr>
                <w:rFonts w:ascii="High Tower Text" w:hAnsi="High Tower Text"/>
              </w:rPr>
              <w:t>At Pineham Barns Primary School all staff members aim to meet the pastoral, social and academic needs of disadvantaged pupils within a caring a nurturing environment. We are committed to nurturing a love for learning within our pupils, giving them the skills and knowledge</w:t>
            </w:r>
            <w:r>
              <w:rPr>
                <w:rFonts w:ascii="High Tower Text" w:hAnsi="High Tower Text"/>
              </w:rPr>
              <w:t xml:space="preserve"> to be ambitious and meet their full potential</w:t>
            </w:r>
            <w:r w:rsidRPr="00433ACE">
              <w:rPr>
                <w:rFonts w:ascii="High Tower Text" w:hAnsi="High Tower Text"/>
              </w:rPr>
              <w:t>.</w:t>
            </w:r>
          </w:p>
          <w:p w:rsidR="00641B89" w:rsidRDefault="00641B89" w:rsidP="00641B8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Our objectives are to: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 xml:space="preserve">Remove barriers </w:t>
            </w:r>
            <w:r>
              <w:rPr>
                <w:rFonts w:ascii="High Tower Text" w:hAnsi="High Tower Text"/>
              </w:rPr>
              <w:t xml:space="preserve">to learning created by </w:t>
            </w:r>
            <w:r w:rsidRPr="00624877">
              <w:rPr>
                <w:rFonts w:ascii="High Tower Text" w:hAnsi="High Tower Text"/>
              </w:rPr>
              <w:t xml:space="preserve">family circumstance and background 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Meet the </w:t>
            </w:r>
            <w:r w:rsidRPr="00624877">
              <w:rPr>
                <w:rFonts w:ascii="High Tower Text" w:hAnsi="High Tower Text"/>
              </w:rPr>
              <w:t xml:space="preserve">social and emotional </w:t>
            </w:r>
            <w:r>
              <w:rPr>
                <w:rFonts w:ascii="High Tower Text" w:hAnsi="High Tower Text"/>
              </w:rPr>
              <w:t>needs of our pupils, with a focus on wellbeing and</w:t>
            </w:r>
            <w:r w:rsidRPr="00624877">
              <w:rPr>
                <w:rFonts w:ascii="High Tower Text" w:hAnsi="High Tower Text"/>
              </w:rPr>
              <w:t xml:space="preserve"> develop</w:t>
            </w:r>
            <w:r>
              <w:rPr>
                <w:rFonts w:ascii="High Tower Text" w:hAnsi="High Tower Text"/>
              </w:rPr>
              <w:t>ing</w:t>
            </w:r>
            <w:r w:rsidRPr="00624877">
              <w:rPr>
                <w:rFonts w:ascii="High Tower Text" w:hAnsi="High Tower Text"/>
              </w:rPr>
              <w:t xml:space="preserve"> resilience. 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>Narrow the attainment gaps between disadvantaged pupils and their non-disadvantaged counterparts both within school and nationally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Ensure all</w:t>
            </w:r>
            <w:r w:rsidRPr="00624877">
              <w:rPr>
                <w:rFonts w:ascii="High Tower Text" w:hAnsi="High Tower Text"/>
              </w:rPr>
              <w:t xml:space="preserve"> pupils are able to read fluently and with good understanding to enable them to access the breadth of the curriculum </w:t>
            </w:r>
          </w:p>
          <w:p w:rsidR="00641B89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>Access a wide range of opportunities to develop their knowledge and understanding of the world</w:t>
            </w:r>
          </w:p>
          <w:p w:rsidR="00641B89" w:rsidRDefault="00641B89" w:rsidP="00641B8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 order to achieve our objectives and overcome identified barriers we will: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 xml:space="preserve">Provide all staff with high quality </w:t>
            </w:r>
            <w:r>
              <w:rPr>
                <w:rFonts w:ascii="High Tower Text" w:hAnsi="High Tower Text"/>
              </w:rPr>
              <w:t>CPD to ensure that pupils’ academic and emotional needs are understood and met.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targeted intervention and support to quickly address identified gaps in learning including the use of small group work, 1:1 tuition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 xml:space="preserve">Target funding to ensure that all pupils have access to trips, </w:t>
            </w:r>
            <w:proofErr w:type="spellStart"/>
            <w:r w:rsidRPr="00126D2F">
              <w:rPr>
                <w:rFonts w:ascii="High Tower Text" w:hAnsi="High Tower Text"/>
              </w:rPr>
              <w:t>residentials</w:t>
            </w:r>
            <w:proofErr w:type="spellEnd"/>
            <w:r w:rsidRPr="00126D2F">
              <w:rPr>
                <w:rFonts w:ascii="High Tower Text" w:hAnsi="High Tower Text"/>
              </w:rPr>
              <w:t>, first hand learning experiences, uniform and other necessary resources.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opportunities for all pupils to participate in enrichment activities including sport and music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appropriate well-being support for pupils and families in order for pupils to access learning within and beyond the classroom.</w:t>
            </w:r>
          </w:p>
          <w:p w:rsidR="00943964" w:rsidRDefault="00943964" w:rsidP="00641B89">
            <w:pPr>
              <w:spacing w:after="0"/>
              <w:ind w:left="720"/>
            </w:pPr>
          </w:p>
        </w:tc>
      </w:tr>
    </w:tbl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Challenges </w:t>
      </w:r>
    </w:p>
    <w:p w:rsidR="00943964" w:rsidRDefault="007E3534">
      <w:pPr>
        <w:spacing w:after="11" w:line="249" w:lineRule="auto"/>
        <w:ind w:left="-5" w:hanging="10"/>
        <w:rPr>
          <w:rFonts w:ascii="High Tower Text" w:eastAsia="High Tower Text" w:hAnsi="High Tower Text" w:cs="High Tower Text"/>
          <w:color w:val="0D0D0D"/>
          <w:sz w:val="24"/>
        </w:rPr>
      </w:pPr>
      <w:r>
        <w:rPr>
          <w:rFonts w:ascii="High Tower Text" w:eastAsia="High Tower Text" w:hAnsi="High Tower Text" w:cs="High Tower Text"/>
          <w:sz w:val="24"/>
        </w:rPr>
        <w:t xml:space="preserve">This details the key </w:t>
      </w:r>
      <w:r>
        <w:rPr>
          <w:rFonts w:ascii="High Tower Text" w:eastAsia="High Tower Text" w:hAnsi="High Tower Text" w:cs="High Tower Text"/>
          <w:sz w:val="24"/>
        </w:rPr>
        <w:t>challenges to achievement that we have identified among our disadvantaged pupils.</w:t>
      </w: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0133B" w:rsidRDefault="0060133B">
      <w:pPr>
        <w:spacing w:after="11" w:line="249" w:lineRule="auto"/>
        <w:ind w:left="-5" w:hanging="10"/>
      </w:pPr>
      <w:bookmarkStart w:id="0" w:name="_GoBack"/>
      <w:bookmarkEnd w:id="0"/>
    </w:p>
    <w:tbl>
      <w:tblPr>
        <w:tblStyle w:val="TableGrid"/>
        <w:tblW w:w="9485" w:type="dxa"/>
        <w:tblInd w:w="7" w:type="dxa"/>
        <w:tblCellMar>
          <w:top w:w="101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6"/>
        <w:gridCol w:w="8009"/>
      </w:tblGrid>
      <w:tr w:rsidR="00943964">
        <w:trPr>
          <w:trHeight w:val="6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of challenge  </w:t>
            </w:r>
          </w:p>
        </w:tc>
      </w:tr>
      <w:tr w:rsidR="00641B89">
        <w:trPr>
          <w:trHeight w:val="64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spacing w:after="0"/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Readiness for learning of pupils</w:t>
            </w:r>
          </w:p>
        </w:tc>
      </w:tr>
      <w:tr w:rsidR="00641B89">
        <w:trPr>
          <w:trHeight w:val="64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spacing w:after="0"/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sz w:val="28"/>
                <w:szCs w:val="24"/>
              </w:rPr>
              <w:t>Parental engagement / support at home / families emotional needs</w:t>
            </w:r>
          </w:p>
        </w:tc>
      </w:tr>
      <w:tr w:rsidR="00641B89" w:rsidTr="00E42B9E">
        <w:trPr>
          <w:trHeight w:val="58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spacing w:after="0"/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sz w:val="28"/>
                <w:szCs w:val="24"/>
              </w:rPr>
              <w:t>Academic ability</w:t>
            </w:r>
          </w:p>
        </w:tc>
      </w:tr>
      <w:tr w:rsidR="00641B89" w:rsidTr="00E42B9E">
        <w:trPr>
          <w:trHeight w:val="5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spacing w:after="0"/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iCs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School attendance and punctuality</w:t>
            </w:r>
          </w:p>
        </w:tc>
      </w:tr>
      <w:tr w:rsidR="00641B89">
        <w:trPr>
          <w:trHeight w:val="64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spacing w:after="0"/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iCs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Access to wider opportunities</w:t>
            </w:r>
          </w:p>
        </w:tc>
      </w:tr>
    </w:tbl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E42B9E" w:rsidRDefault="00E42B9E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E42B9E" w:rsidRDefault="00E42B9E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Intended outcomes  </w:t>
      </w:r>
    </w:p>
    <w:p w:rsidR="00943964" w:rsidRDefault="007E3534">
      <w:pPr>
        <w:spacing w:after="11" w:line="249" w:lineRule="auto"/>
        <w:ind w:left="-5" w:hanging="10"/>
        <w:rPr>
          <w:rFonts w:ascii="High Tower Text" w:eastAsia="High Tower Text" w:hAnsi="High Tower Text" w:cs="High Tower Text"/>
          <w:color w:val="0D0D0D"/>
          <w:sz w:val="24"/>
        </w:rPr>
      </w:pPr>
      <w:r>
        <w:rPr>
          <w:rFonts w:ascii="High Tower Text" w:eastAsia="High Tower Text" w:hAnsi="High Tower Text" w:cs="High Tower Text"/>
          <w:sz w:val="24"/>
        </w:rPr>
        <w:t xml:space="preserve">This explains the outcomes we are aiming for </w:t>
      </w:r>
      <w:r>
        <w:rPr>
          <w:rFonts w:ascii="High Tower Text" w:eastAsia="High Tower Text" w:hAnsi="High Tower Text" w:cs="High Tower Text"/>
          <w:sz w:val="24"/>
          <w:u w:val="single" w:color="000000"/>
        </w:rPr>
        <w:t>by the end of our current strategy plan</w:t>
      </w:r>
      <w:r>
        <w:rPr>
          <w:rFonts w:ascii="High Tower Text" w:eastAsia="High Tower Text" w:hAnsi="High Tower Text" w:cs="High Tower Text"/>
          <w:sz w:val="24"/>
        </w:rPr>
        <w:t>, and how we will measure whether they have been achieved.</w:t>
      </w: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41B89" w:rsidRDefault="00641B89">
      <w:pPr>
        <w:spacing w:after="11" w:line="249" w:lineRule="auto"/>
        <w:ind w:left="-5" w:hanging="10"/>
      </w:pPr>
    </w:p>
    <w:tbl>
      <w:tblPr>
        <w:tblStyle w:val="TableGrid"/>
        <w:tblW w:w="9486" w:type="dxa"/>
        <w:tblInd w:w="7" w:type="dxa"/>
        <w:tblCellMar>
          <w:top w:w="41" w:type="dxa"/>
          <w:left w:w="166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4816"/>
        <w:gridCol w:w="4670"/>
      </w:tblGrid>
      <w:tr w:rsidR="00943964" w:rsidTr="00641B89">
        <w:trPr>
          <w:trHeight w:val="40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Intended outcome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Success criteria </w:t>
            </w:r>
          </w:p>
        </w:tc>
      </w:tr>
      <w:tr w:rsidR="00641B89" w:rsidTr="00641B89">
        <w:trPr>
          <w:trHeight w:val="97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Year One Phonics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115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Ks1 SATs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ind w:left="0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12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Ks2 SATs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58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rPr>
                <w:rFonts w:ascii="High Tower Text" w:eastAsia="Calibri" w:hAnsi="High Tower Text"/>
                <w:color w:val="auto"/>
              </w:rPr>
            </w:pPr>
            <w:r w:rsidRPr="00EC4977">
              <w:rPr>
                <w:rFonts w:ascii="High Tower Text" w:eastAsia="Calibri" w:hAnsi="High Tower Text"/>
                <w:color w:val="auto"/>
              </w:rPr>
              <w:t>Pupils in receipt of pupil premium funding are funded to take part in sports, music and language clubs and other enrichment experiences that enable the whole child.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90%+ of disadvantaged pupils take up an enrichment experiences offered.</w:t>
            </w:r>
          </w:p>
        </w:tc>
      </w:tr>
      <w:tr w:rsidR="00641B89" w:rsidTr="00641B89">
        <w:trPr>
          <w:trHeight w:val="109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rPr>
                <w:rFonts w:ascii="High Tower Text" w:hAnsi="High Tower Text"/>
                <w:color w:val="auto"/>
              </w:rPr>
            </w:pPr>
            <w:r w:rsidRPr="00EC4977">
              <w:rPr>
                <w:rFonts w:ascii="High Tower Text" w:hAnsi="High Tower Text"/>
                <w:color w:val="auto"/>
              </w:rPr>
              <w:t>High levels of attendance for pupil premium children.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Ensure attendance of disadvantaged pupils is at least in line with peers.</w:t>
            </w:r>
          </w:p>
        </w:tc>
      </w:tr>
    </w:tbl>
    <w:p w:rsidR="00943964" w:rsidRDefault="007E3534">
      <w:pPr>
        <w:spacing w:after="218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 </w:t>
      </w:r>
    </w:p>
    <w:p w:rsidR="00943964" w:rsidRDefault="007E3534">
      <w:pPr>
        <w:spacing w:after="0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</w:r>
      <w:r>
        <w:rPr>
          <w:rFonts w:ascii="High Tower Text" w:eastAsia="High Tower Text" w:hAnsi="High Tower Text" w:cs="High Tower Text"/>
          <w:color w:val="104F75"/>
          <w:sz w:val="32"/>
        </w:rPr>
        <w:t xml:space="preserve"> </w:t>
      </w:r>
      <w:r>
        <w:br w:type="page"/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Activity in this academic year </w:t>
      </w:r>
    </w:p>
    <w:p w:rsidR="00943964" w:rsidRDefault="007E3534">
      <w:pPr>
        <w:spacing w:after="544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This details how we intend to spend our pupil premium (and recovery premium funding) this academic year to address the challenges listed above.  </w:t>
      </w:r>
    </w:p>
    <w:p w:rsidR="00943964" w:rsidRDefault="007E3534">
      <w:pPr>
        <w:spacing w:after="185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Teaching (for example, CPD, recruitment and retention) </w:t>
      </w:r>
    </w:p>
    <w:p w:rsidR="00943964" w:rsidRDefault="00641B89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>Budgeted cost: £25,000</w:t>
      </w:r>
      <w:r w:rsidR="007E3534"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tbl>
      <w:tblPr>
        <w:tblStyle w:val="TableGrid"/>
        <w:tblW w:w="9486" w:type="dxa"/>
        <w:tblInd w:w="7" w:type="dxa"/>
        <w:tblCellMar>
          <w:top w:w="46" w:type="dxa"/>
          <w:left w:w="164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22"/>
        <w:gridCol w:w="5474"/>
        <w:gridCol w:w="1390"/>
      </w:tblGrid>
      <w:tr w:rsidR="00943964" w:rsidTr="00641B89">
        <w:trPr>
          <w:trHeight w:val="96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2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641B89" w:rsidTr="00641B89">
        <w:trPr>
          <w:trHeight w:val="107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CPD for all staff on individual identified needs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Staff are able to better support and meet the varied needs of pupils.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24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for additional KS2 teacher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class sizes (ratio of 1:15 or less) ensuring more teacher pupil interaction and focus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7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for additional KS1 Teaching Assistants.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group sizes (ratio of 1:6 or less) ensuring more teacher / TA pupil interaction and focus.</w:t>
            </w:r>
          </w:p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Identified gaps able to be covered in small group</w:t>
            </w:r>
          </w:p>
          <w:p w:rsidR="00641B89" w:rsidRPr="001B0A21" w:rsidRDefault="00641B89" w:rsidP="00641B89">
            <w:pPr>
              <w:pStyle w:val="TableRowCentered"/>
              <w:jc w:val="left"/>
              <w:rPr>
                <w:rFonts w:ascii="High Tower Text" w:hAnsi="High Tower Text"/>
                <w:i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4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Salary for additional Ks2 Teaching Assistant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group sizes (ratio of 1:6 or less) ensuring more teacher / TA pupil interaction and focus.</w:t>
            </w:r>
          </w:p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Identified gaps able to be covered in small group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</w:tbl>
    <w:p w:rsidR="00943964" w:rsidRDefault="007E3534">
      <w:pPr>
        <w:spacing w:after="129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943964" w:rsidRDefault="007E3534">
      <w:pPr>
        <w:spacing w:after="247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lastRenderedPageBreak/>
        <w:t xml:space="preserve">Targeted academic support (for example, tutoring, one-to-one support structured </w:t>
      </w:r>
      <w:proofErr w:type="gramStart"/>
      <w:r>
        <w:rPr>
          <w:rFonts w:ascii="High Tower Text" w:eastAsia="High Tower Text" w:hAnsi="High Tower Text" w:cs="High Tower Text"/>
          <w:color w:val="104F75"/>
          <w:sz w:val="28"/>
        </w:rPr>
        <w:t>interventions</w:t>
      </w:r>
      <w:proofErr w:type="gramEnd"/>
      <w:r>
        <w:rPr>
          <w:rFonts w:ascii="High Tower Text" w:eastAsia="High Tower Text" w:hAnsi="High Tower Text" w:cs="High Tower Text"/>
          <w:color w:val="104F75"/>
          <w:sz w:val="28"/>
        </w:rPr>
        <w:t xml:space="preserve">)  </w:t>
      </w:r>
    </w:p>
    <w:p w:rsidR="00943964" w:rsidRDefault="00DA68B2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>Budgeted cost: £7,209</w:t>
      </w:r>
    </w:p>
    <w:tbl>
      <w:tblPr>
        <w:tblStyle w:val="TableGrid"/>
        <w:tblW w:w="9486" w:type="dxa"/>
        <w:tblInd w:w="7" w:type="dxa"/>
        <w:tblCellMar>
          <w:top w:w="100" w:type="dxa"/>
          <w:left w:w="16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36"/>
        <w:gridCol w:w="5460"/>
        <w:gridCol w:w="1390"/>
      </w:tblGrid>
      <w:tr w:rsidR="00943964">
        <w:trPr>
          <w:trHeight w:val="9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DA68B2" w:rsidTr="00DA68B2">
        <w:trPr>
          <w:trHeight w:val="1528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  <w:iCs/>
              </w:rPr>
              <w:t>Training for additional programmes (</w:t>
            </w:r>
            <w:proofErr w:type="spellStart"/>
            <w:r w:rsidRPr="006A55AB">
              <w:rPr>
                <w:rFonts w:ascii="High Tower Text" w:hAnsi="High Tower Text"/>
                <w:iCs/>
              </w:rPr>
              <w:t>SwitchOn</w:t>
            </w:r>
            <w:proofErr w:type="spellEnd"/>
            <w:r w:rsidRPr="006A55AB">
              <w:rPr>
                <w:rFonts w:ascii="High Tower Text" w:hAnsi="High Tower Text"/>
                <w:iCs/>
              </w:rPr>
              <w:t xml:space="preserve"> Reading)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28081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280811">
              <w:rPr>
                <w:rFonts w:ascii="High Tower Text" w:hAnsi="High Tower Text"/>
              </w:rPr>
              <w:t xml:space="preserve">Pupils make accelerated progress. Pupils are at least in-line with all others pupils nationally 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280811">
              <w:rPr>
                <w:rFonts w:ascii="High Tower Text" w:hAnsi="High Tower Text"/>
              </w:rPr>
              <w:t>Gaps are filled</w:t>
            </w:r>
          </w:p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DA68B2" w:rsidTr="00DA68B2">
        <w:trPr>
          <w:trHeight w:val="145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 xml:space="preserve">Salary for Reading Teaching Assistant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Children a listened to read and discuss a variety of text often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Children develop a love for reading.</w:t>
            </w:r>
          </w:p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3</w:t>
            </w:r>
          </w:p>
        </w:tc>
      </w:tr>
    </w:tbl>
    <w:p w:rsidR="00943964" w:rsidRDefault="007E3534">
      <w:pPr>
        <w:spacing w:after="34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DA68B2" w:rsidRDefault="00DA68B2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943964" w:rsidRDefault="007E3534">
      <w:pPr>
        <w:spacing w:after="247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Wider strategies (for example, related to attendance, behaviour, wellbeing) </w:t>
      </w:r>
    </w:p>
    <w:p w:rsidR="00943964" w:rsidRDefault="00DA68B2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>Budgeted cost: £14,781</w:t>
      </w:r>
    </w:p>
    <w:tbl>
      <w:tblPr>
        <w:tblStyle w:val="TableGrid"/>
        <w:tblW w:w="9486" w:type="dxa"/>
        <w:tblInd w:w="7" w:type="dxa"/>
        <w:tblCellMar>
          <w:top w:w="101" w:type="dxa"/>
          <w:left w:w="16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58"/>
        <w:gridCol w:w="5438"/>
        <w:gridCol w:w="1390"/>
      </w:tblGrid>
      <w:tr w:rsidR="00943964" w:rsidTr="00DA68B2">
        <w:trPr>
          <w:trHeight w:val="96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spacing w:after="0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DA68B2" w:rsidTr="00DA68B2">
        <w:trPr>
          <w:trHeight w:val="1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Funding for uniform, equipment, resources and school trips.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All pupils have the necessary equipment.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</w:rPr>
              <w:t>Pupils have access to a wide range of activities within and beyond the curriculum experience to enhance their cultural capital.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5</w:t>
            </w:r>
          </w:p>
        </w:tc>
      </w:tr>
      <w:tr w:rsidR="00DA68B2" w:rsidTr="00DA68B2">
        <w:trPr>
          <w:trHeight w:val="17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 xml:space="preserve">Funding for access to </w:t>
            </w:r>
            <w:r>
              <w:rPr>
                <w:rFonts w:ascii="High Tower Text" w:hAnsi="High Tower Text"/>
              </w:rPr>
              <w:t xml:space="preserve">before and </w:t>
            </w:r>
            <w:r w:rsidRPr="006A55AB">
              <w:rPr>
                <w:rFonts w:ascii="High Tower Text" w:hAnsi="High Tower Text"/>
              </w:rPr>
              <w:t>after school clubs and interests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Pupils have access to a wide range of activities within and beyond the curriculum experience to enhance their cultural capital.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Supporting working parents with wrap around care.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2, 4 &amp; 5</w:t>
            </w:r>
          </w:p>
        </w:tc>
      </w:tr>
      <w:tr w:rsidR="00DA68B2" w:rsidTr="00DA68B2">
        <w:trPr>
          <w:trHeight w:val="159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of well-being support staff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Pupils are safe and are confident in themselves and can manage their emotions effectively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Strengthened partnership with parents/carers.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  <w:tr w:rsidR="00DA68B2" w:rsidTr="00DA68B2">
        <w:trPr>
          <w:trHeight w:val="125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lastRenderedPageBreak/>
              <w:t xml:space="preserve">Training for well-being staff to support pupils and families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  <w:szCs w:val="24"/>
              </w:rPr>
              <w:t>Staff are able to more effectively meet a varied range of emotion needs.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  <w:tr w:rsidR="00DA68B2" w:rsidTr="00DA68B2">
        <w:trPr>
          <w:trHeight w:val="119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Funding fo</w:t>
            </w:r>
            <w:r>
              <w:rPr>
                <w:rFonts w:ascii="High Tower Text" w:hAnsi="High Tower Text"/>
              </w:rPr>
              <w:t>r breakfast club.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 xml:space="preserve">All pupils have a </w:t>
            </w:r>
            <w:r>
              <w:rPr>
                <w:rFonts w:ascii="High Tower Text" w:hAnsi="High Tower Text"/>
              </w:rPr>
              <w:t xml:space="preserve">settled start to the school day and are ready for learning 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</w:rPr>
              <w:t>No pupil starts the day hungry.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</w:tbl>
    <w:p w:rsidR="00943964" w:rsidRDefault="007E3534">
      <w:pPr>
        <w:spacing w:after="5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943964" w:rsidRDefault="00DA68B2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>Total budgeted cost: £46,990</w:t>
      </w:r>
      <w:r w:rsidR="007E3534">
        <w:br w:type="page"/>
      </w:r>
    </w:p>
    <w:p w:rsidR="00943964" w:rsidRDefault="007E3534">
      <w:pPr>
        <w:spacing w:after="409"/>
        <w:ind w:left="-5" w:hanging="10"/>
      </w:pPr>
      <w:r>
        <w:rPr>
          <w:rFonts w:ascii="High Tower Text" w:eastAsia="High Tower Text" w:hAnsi="High Tower Text" w:cs="High Tower Text"/>
          <w:color w:val="104F75"/>
          <w:sz w:val="36"/>
        </w:rPr>
        <w:lastRenderedPageBreak/>
        <w:t xml:space="preserve">Part B: Review of outcomes in the previous academic year </w:t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Pupil premium strategy outcomes </w:t>
      </w:r>
    </w:p>
    <w:p w:rsidR="000A3EF5" w:rsidRDefault="007E3534" w:rsidP="000A3EF5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This details the impact that our pupil premium activity had on pupils in the 2020 to 2021 academic year.  </w:t>
      </w:r>
    </w:p>
    <w:p w:rsidR="000A3EF5" w:rsidRPr="000A3EF5" w:rsidRDefault="000A3EF5" w:rsidP="000A3EF5">
      <w:pPr>
        <w:spacing w:after="3"/>
        <w:ind w:left="-5" w:hanging="10"/>
      </w:pPr>
    </w:p>
    <w:p w:rsidR="000A3EF5" w:rsidRPr="00FB3685" w:rsidRDefault="000A3EF5" w:rsidP="000A3EF5">
      <w:pPr>
        <w:rPr>
          <w:rFonts w:ascii="High Tower Text" w:hAnsi="High Tower Text"/>
        </w:rPr>
      </w:pPr>
      <w:r w:rsidRPr="00FB3685">
        <w:rPr>
          <w:rFonts w:ascii="High Tower Text" w:hAnsi="High Tower Text"/>
        </w:rPr>
        <w:t>Due to COVID-19, performance measures have not been published for 2020 to 2021, and 2020 to 2021 results will not be used to hold schools to account</w:t>
      </w:r>
    </w:p>
    <w:p w:rsidR="000A3EF5" w:rsidRPr="00FB3685" w:rsidRDefault="000A3EF5" w:rsidP="000A3EF5">
      <w:pPr>
        <w:rPr>
          <w:rFonts w:ascii="High Tower Text" w:hAnsi="High Tower Text"/>
          <w:b/>
        </w:rPr>
      </w:pPr>
      <w:r w:rsidRPr="00FB3685">
        <w:rPr>
          <w:rFonts w:ascii="High Tower Text" w:hAnsi="High Tower Text"/>
          <w:b/>
        </w:rPr>
        <w:t>Key areas of impact</w:t>
      </w:r>
    </w:p>
    <w:p w:rsidR="000A3EF5" w:rsidRPr="00FB3685" w:rsidRDefault="000A3EF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 w:rsidRPr="00FB3685">
        <w:rPr>
          <w:rFonts w:ascii="High Tower Text" w:hAnsi="High Tower Text"/>
        </w:rPr>
        <w:t>Attendance for disadvantaged pupils was 97% and a</w:t>
      </w:r>
      <w:r>
        <w:rPr>
          <w:rFonts w:ascii="High Tower Text" w:hAnsi="High Tower Text"/>
        </w:rPr>
        <w:t>bove that of the school average and national.</w:t>
      </w:r>
    </w:p>
    <w:p w:rsidR="000A3EF5" w:rsidRPr="00FB3685" w:rsidRDefault="000A3EF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 w:rsidRPr="00FB3685">
        <w:rPr>
          <w:rFonts w:ascii="High Tower Text" w:hAnsi="High Tower Text"/>
        </w:rPr>
        <w:t>70% (7/10) of disadvantaged children reached GLD in Reception. Those that did not reach GLD received additional support in areas of weakness to close the gap.</w:t>
      </w:r>
    </w:p>
    <w:p w:rsidR="000A3EF5" w:rsidRPr="00FB3685" w:rsidRDefault="000A3EF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 w:rsidRPr="00FB3685">
        <w:rPr>
          <w:rFonts w:ascii="High Tower Text" w:hAnsi="High Tower Text"/>
        </w:rPr>
        <w:t xml:space="preserve">100% of disadvantaged children who were targeted to achieve 32+ on the phonics assessment reached their target. Those that did not achieve the pass mark made secure progress against their individual target. </w:t>
      </w:r>
    </w:p>
    <w:p w:rsidR="00943964" w:rsidRPr="000A3EF5" w:rsidRDefault="000A3EF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 w:rsidRPr="00FB3685">
        <w:rPr>
          <w:rFonts w:ascii="High Tower Text" w:hAnsi="High Tower Text"/>
        </w:rPr>
        <w:t>66% (4/6) of disadvantaged pupils achieved expected in Reading, Writing and Maths. Those that did not achieve expected made at least secure progress against their individual targets.</w:t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>S</w:t>
      </w:r>
      <w:r>
        <w:rPr>
          <w:rFonts w:ascii="High Tower Text" w:eastAsia="High Tower Text" w:hAnsi="High Tower Text" w:cs="High Tower Text"/>
          <w:color w:val="104F75"/>
          <w:sz w:val="32"/>
        </w:rPr>
        <w:t xml:space="preserve">ervice pupil premium funding </w:t>
      </w: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943964" w:rsidRDefault="007E3534">
      <w:pPr>
        <w:spacing w:after="0"/>
        <w:rPr>
          <w:rFonts w:ascii="High Tower Text" w:eastAsia="High Tower Text" w:hAnsi="High Tower Text" w:cs="High Tower Text"/>
          <w:i/>
          <w:color w:val="0D0D0D"/>
          <w:sz w:val="24"/>
        </w:rPr>
      </w:pPr>
      <w:r>
        <w:rPr>
          <w:rFonts w:ascii="High Tower Text" w:eastAsia="High Tower Text" w:hAnsi="High Tower Text" w:cs="High Tower Text"/>
          <w:i/>
          <w:color w:val="0D0D0D"/>
          <w:sz w:val="24"/>
        </w:rPr>
        <w:t xml:space="preserve">The school did not have any pupils in receipt </w:t>
      </w:r>
      <w:r>
        <w:rPr>
          <w:rFonts w:ascii="High Tower Text" w:eastAsia="High Tower Text" w:hAnsi="High Tower Text" w:cs="High Tower Text"/>
          <w:i/>
          <w:color w:val="0D0D0D"/>
          <w:sz w:val="24"/>
        </w:rPr>
        <w:t xml:space="preserve">of service pupil premium in 2020/21  </w:t>
      </w:r>
    </w:p>
    <w:p w:rsidR="009A714C" w:rsidRDefault="009A714C">
      <w:pPr>
        <w:spacing w:after="0"/>
        <w:rPr>
          <w:rFonts w:ascii="High Tower Text" w:eastAsia="High Tower Text" w:hAnsi="High Tower Text" w:cs="High Tower Text"/>
          <w:i/>
          <w:color w:val="0D0D0D"/>
          <w:sz w:val="24"/>
        </w:rPr>
      </w:pPr>
    </w:p>
    <w:p w:rsidR="00485F7C" w:rsidRPr="009A714C" w:rsidRDefault="009A714C" w:rsidP="009A714C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  <w:r>
        <w:rPr>
          <w:rFonts w:ascii="High Tower Text" w:eastAsia="High Tower Text" w:hAnsi="High Tower Text" w:cs="High Tower Text"/>
          <w:color w:val="104F75"/>
          <w:sz w:val="32"/>
        </w:rPr>
        <w:t>Externally provided programmes</w:t>
      </w:r>
      <w:r>
        <w:rPr>
          <w:rFonts w:ascii="High Tower Text" w:eastAsia="High Tower Text" w:hAnsi="High Tower Text" w:cs="High Tower Text"/>
          <w:color w:val="104F75"/>
          <w:sz w:val="32"/>
        </w:rPr>
        <w:t xml:space="preserve"> </w:t>
      </w: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485F7C" w:rsidRDefault="00485F7C" w:rsidP="00485F7C">
      <w:pPr>
        <w:rPr>
          <w:rFonts w:ascii="High Tower Text" w:hAnsi="High Tower Text"/>
          <w:i/>
          <w:iCs/>
        </w:rPr>
      </w:pPr>
      <w:r w:rsidRPr="006A55AB">
        <w:rPr>
          <w:rFonts w:ascii="High Tower Text" w:hAnsi="High Tower Text"/>
          <w:i/>
          <w:iCs/>
        </w:rPr>
        <w:t>Please include the names of any non-</w:t>
      </w:r>
      <w:proofErr w:type="spellStart"/>
      <w:r w:rsidRPr="006A55AB">
        <w:rPr>
          <w:rFonts w:ascii="High Tower Text" w:hAnsi="High Tower Text"/>
          <w:i/>
          <w:iCs/>
        </w:rPr>
        <w:t>DfE</w:t>
      </w:r>
      <w:proofErr w:type="spellEnd"/>
      <w:r w:rsidRPr="006A55AB">
        <w:rPr>
          <w:rFonts w:ascii="High Tower Text" w:hAnsi="High Tower Text"/>
          <w:i/>
          <w:iCs/>
        </w:rPr>
        <w:t xml:space="preserve"> programmes that you purchased in the previous academic year. This will help the Department for Education identify which ones are popular in England</w:t>
      </w:r>
    </w:p>
    <w:p w:rsidR="00485F7C" w:rsidRDefault="00485F7C" w:rsidP="00485F7C">
      <w:pPr>
        <w:rPr>
          <w:rFonts w:ascii="High Tower Text" w:hAnsi="High Tower Text"/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174"/>
      </w:tblGrid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Header"/>
              <w:jc w:val="left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Header"/>
              <w:jc w:val="left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Provider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TT </w:t>
            </w:r>
            <w:proofErr w:type="spellStart"/>
            <w:r>
              <w:rPr>
                <w:rFonts w:ascii="High Tower Text" w:hAnsi="High Tower Text"/>
              </w:rPr>
              <w:t>Rockstars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Play.ttrockstars.com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Default="00485F7C" w:rsidP="00302E15">
            <w:pPr>
              <w:pStyle w:val="TableRow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SwitchOn</w:t>
            </w:r>
            <w:proofErr w:type="spellEnd"/>
            <w:r>
              <w:rPr>
                <w:rFonts w:ascii="High Tower Text" w:hAnsi="High Tower Text"/>
              </w:rPr>
              <w:t xml:space="preserve">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FC757A">
              <w:rPr>
                <w:rFonts w:ascii="High Tower Text" w:hAnsi="High Tower Text"/>
                <w:szCs w:val="24"/>
              </w:rPr>
              <w:t>http://www.targetliteracy.co.uk/interventions/switch_on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Seesaw (Online Platform)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http://web.seesaw.me</w:t>
            </w:r>
          </w:p>
        </w:tc>
      </w:tr>
    </w:tbl>
    <w:p w:rsidR="00943964" w:rsidRDefault="007E3534" w:rsidP="009A714C">
      <w:pPr>
        <w:spacing w:after="0"/>
        <w:ind w:right="4632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sectPr w:rsidR="0094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296" w:bottom="708" w:left="1133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34" w:rsidRDefault="007E3534">
      <w:pPr>
        <w:spacing w:after="0" w:line="240" w:lineRule="auto"/>
      </w:pPr>
      <w:r>
        <w:separator/>
      </w:r>
    </w:p>
  </w:endnote>
  <w:endnote w:type="continuationSeparator" w:id="0">
    <w:p w:rsidR="007E3534" w:rsidRDefault="007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33B" w:rsidRPr="0060133B">
      <w:rPr>
        <w:rFonts w:ascii="Arial" w:eastAsia="Arial" w:hAnsi="Arial" w:cs="Arial"/>
        <w:noProof/>
        <w:color w:val="0D0D0D"/>
        <w:sz w:val="24"/>
      </w:rPr>
      <w:t>9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34" w:rsidRDefault="007E3534">
      <w:pPr>
        <w:spacing w:after="0" w:line="240" w:lineRule="auto"/>
      </w:pPr>
      <w:r>
        <w:separator/>
      </w:r>
    </w:p>
  </w:footnote>
  <w:footnote w:type="continuationSeparator" w:id="0">
    <w:p w:rsidR="007E3534" w:rsidRDefault="007E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11144" name="Picture 11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4A2"/>
    <w:multiLevelType w:val="hybridMultilevel"/>
    <w:tmpl w:val="6B3E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0B78"/>
    <w:multiLevelType w:val="hybridMultilevel"/>
    <w:tmpl w:val="C75C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907"/>
    <w:multiLevelType w:val="hybridMultilevel"/>
    <w:tmpl w:val="69706544"/>
    <w:lvl w:ilvl="0" w:tplc="4AC25C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4C8B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C4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0C8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AF49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C0A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904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840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6C0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E4A67"/>
    <w:multiLevelType w:val="hybridMultilevel"/>
    <w:tmpl w:val="505E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4"/>
    <w:rsid w:val="000A3EF5"/>
    <w:rsid w:val="00485F7C"/>
    <w:rsid w:val="0060133B"/>
    <w:rsid w:val="00641B89"/>
    <w:rsid w:val="007E3534"/>
    <w:rsid w:val="00943964"/>
    <w:rsid w:val="009A714C"/>
    <w:rsid w:val="00B427FA"/>
    <w:rsid w:val="00DA68B2"/>
    <w:rsid w:val="00E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9684"/>
  <w15:docId w15:val="{808F595F-4879-41BD-A279-5958132C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3"/>
      <w:outlineLvl w:val="0"/>
    </w:pPr>
    <w:rPr>
      <w:rFonts w:ascii="High Tower Text" w:eastAsia="High Tower Text" w:hAnsi="High Tower Text" w:cs="High Tower Text"/>
      <w:color w:val="104F75"/>
      <w:sz w:val="28"/>
      <w:u w:val="single" w:color="104F7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High Tower Text" w:eastAsia="High Tower Text" w:hAnsi="High Tower Text" w:cs="High Tower Text"/>
      <w:color w:val="104F75"/>
      <w:sz w:val="28"/>
      <w:u w:val="single" w:color="104F7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Row">
    <w:name w:val="TableRow"/>
    <w:rsid w:val="00641B89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</w:rPr>
  </w:style>
  <w:style w:type="paragraph" w:styleId="ListParagraph">
    <w:name w:val="List Paragraph"/>
    <w:basedOn w:val="Normal"/>
    <w:rsid w:val="00641B89"/>
    <w:pPr>
      <w:numPr>
        <w:numId w:val="2"/>
      </w:numPr>
      <w:suppressAutoHyphens/>
      <w:autoSpaceDN w:val="0"/>
      <w:spacing w:after="240" w:line="288" w:lineRule="auto"/>
      <w:contextualSpacing/>
    </w:pPr>
    <w:rPr>
      <w:rFonts w:ascii="Arial" w:eastAsia="Times New Roman" w:hAnsi="Arial" w:cs="Times New Roman"/>
      <w:color w:val="0D0D0D"/>
      <w:sz w:val="24"/>
      <w:szCs w:val="24"/>
    </w:rPr>
  </w:style>
  <w:style w:type="numbering" w:customStyle="1" w:styleId="LFO25">
    <w:name w:val="LFO25"/>
    <w:basedOn w:val="NoList"/>
    <w:rsid w:val="00641B89"/>
    <w:pPr>
      <w:numPr>
        <w:numId w:val="2"/>
      </w:numPr>
    </w:pPr>
  </w:style>
  <w:style w:type="paragraph" w:customStyle="1" w:styleId="TableRowCentered">
    <w:name w:val="TableRowCentered"/>
    <w:basedOn w:val="TableRow"/>
    <w:rsid w:val="00641B89"/>
    <w:pPr>
      <w:jc w:val="center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Header">
    <w:name w:val="TableHeader"/>
    <w:rsid w:val="00485F7C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EasiPC Services ltd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cp:lastModifiedBy>Ian Sinnamon</cp:lastModifiedBy>
  <cp:revision>7</cp:revision>
  <dcterms:created xsi:type="dcterms:W3CDTF">2021-11-15T12:40:00Z</dcterms:created>
  <dcterms:modified xsi:type="dcterms:W3CDTF">2021-11-15T12:48:00Z</dcterms:modified>
</cp:coreProperties>
</file>